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240" w:lineRule="auto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  <w:bdr w:val="none" w:color="auto" w:sz="0" w:space="0"/>
          <w:shd w:val="clear" w:fill="FFFFFF"/>
        </w:rPr>
      </w:pPr>
      <w:r>
        <w:rPr>
          <w:rFonts w:hint="default"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  <w:bdr w:val="none" w:color="auto" w:sz="0" w:space="0"/>
          <w:shd w:val="clear" w:fill="FFFFFF"/>
        </w:rPr>
        <w:t xml:space="preserve">Новая система </w:t>
      </w:r>
      <w:r>
        <w:rPr>
          <w:rFonts w:hint="default"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  <w:bdr w:val="none" w:color="auto" w:sz="0" w:space="0"/>
          <w:shd w:val="clear" w:fill="FFFFFF"/>
          <w:lang w:val="ru-RU"/>
        </w:rPr>
        <w:t>обращения</w:t>
      </w:r>
      <w:r>
        <w:rPr>
          <w:rFonts w:hint="default"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  <w:bdr w:val="none" w:color="auto" w:sz="0" w:space="0"/>
          <w:shd w:val="clear" w:fill="FFFFFF"/>
        </w:rPr>
        <w:t xml:space="preserve"> отходами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240" w:lineRule="auto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</w:rPr>
      </w:pPr>
      <w:bookmarkStart w:id="0" w:name="_GoBack"/>
      <w:bookmarkEnd w:id="0"/>
      <w:r>
        <w:rPr>
          <w:rFonts w:hint="default" w:ascii="Arial" w:hAnsi="Arial" w:eastAsia="Arial" w:cs="Arial"/>
          <w:i w:val="0"/>
          <w:iCs w:val="0"/>
          <w:caps w:val="0"/>
          <w:color w:val="464646"/>
          <w:spacing w:val="0"/>
          <w:sz w:val="40"/>
          <w:szCs w:val="40"/>
          <w:bdr w:val="none" w:color="auto" w:sz="0" w:space="0"/>
          <w:shd w:val="clear" w:fill="FFFFFF"/>
        </w:rPr>
        <w:t>I и II классов опасности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Style w:val="6"/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С 1 марта 2022 г. законодатели изменили условия работы предприятий-отходообразователей и операторов по обращению с отходами I и II классов опасности. Однако не все представляют, какие новые требования вступили в законную силу и кто их обязан соблюдать. Рассмотрим некоторые нюансы обращения с отходами I и II классов опасности, опираясь на разъяснения ФГУП «ФЭО».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Напомним, с 1 марта 2022 г. применяется п. 1 ст. 14.4 Закона № 89-ФЗ, в соответствии с которым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и не осуществляющие самостоятельное обращение с отходами, обязаны передавать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Распоряжением Правительства РФ от 14.11.2019 № 2684-р ФГУП «ФЭО» определено федеральным оператором по обращению с отходами I и II классов опасности на территории РФ.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В целях информационного обеспечения деятельности по обращению с отходами I и II классов опасности создана федеральная государственная информационная система учета и контроля за обращением с отходами I и II классов опасности (далее — ФГИС ОПВК), которая содержит информацию об отходах I и II классов опасности, необходимую для корректировки федеральной схемы обращения с отходами I и II классов опасности, и иную предусмотренную законодательством РФ информацию.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Каждому отходообразователю необходимо пройти регистрацию во ФГИС ОПВК, для этого нужно иметь учетную запись в единой системе идентификации и аутентификации (далее — ЕСИА) и подать заявку на заключение договора на оказание услуг по обращению с отходами I и II классов опасности в электронном формате посредством ФГИС ОПВК.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40" w:afterAutospacing="0" w:line="285" w:lineRule="atLeast"/>
        <w:ind w:left="0" w:right="0"/>
        <w:jc w:val="both"/>
        <w:rPr>
          <w:color w:val="5A5A5A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A5A5A"/>
          <w:spacing w:val="0"/>
          <w:sz w:val="24"/>
          <w:szCs w:val="24"/>
          <w:bdr w:val="none" w:color="auto" w:sz="0" w:space="0"/>
          <w:shd w:val="clear" w:fill="FFFFFF"/>
        </w:rPr>
        <w:t>После регистрации во ФГИС ОПВК будет создан Личный кабинет. Формирование заявок на исполнение договоров на оказание услуг по обращению с отходами I и II классов опасности будет осуществляться с использованием функционала ФГИС ОПВК.</w:t>
      </w:r>
    </w:p>
    <w:p>
      <w:pPr>
        <w:jc w:val="both"/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2023-07-03T06:01:08Z</dcterms:created>
  <dc:creator>BurdeynayaOV</dc:creator>
  <cp:lastModifiedBy>BurdeynayaOV</cp:lastModifiedBy>
  <dcterms:modified xsi:type="dcterms:W3CDTF">2023-07-03T06:03:12Z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5F208D3499474E0D92BC6437995F0DE0</vt:lpwstr>
  </property>
</Properties>
</file>